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CE316" w14:textId="77777777" w:rsidR="005364FA" w:rsidRDefault="005364FA" w:rsidP="0097397D">
      <w:pPr>
        <w:spacing w:after="0" w:line="240" w:lineRule="auto"/>
        <w:jc w:val="center"/>
        <w:rPr>
          <w:rFonts w:ascii="Times New Roman" w:eastAsia="Microsoft JhengHei" w:hAnsi="Times New Roman"/>
          <w:b/>
          <w:sz w:val="24"/>
          <w:szCs w:val="24"/>
        </w:rPr>
      </w:pPr>
    </w:p>
    <w:p w14:paraId="7DB0E0B5" w14:textId="77777777" w:rsidR="00636379" w:rsidRDefault="00636379" w:rsidP="0097397D">
      <w:pPr>
        <w:spacing w:after="0" w:line="240" w:lineRule="auto"/>
        <w:jc w:val="center"/>
        <w:rPr>
          <w:rFonts w:ascii="Times New Roman" w:eastAsia="Microsoft JhengHei" w:hAnsi="Times New Roman"/>
          <w:b/>
          <w:sz w:val="24"/>
          <w:szCs w:val="24"/>
        </w:rPr>
      </w:pPr>
    </w:p>
    <w:p w14:paraId="6C5EA1C7" w14:textId="77777777" w:rsidR="005364FA" w:rsidRDefault="005364FA" w:rsidP="0097397D">
      <w:pPr>
        <w:spacing w:after="0" w:line="240" w:lineRule="auto"/>
        <w:jc w:val="center"/>
        <w:rPr>
          <w:rFonts w:ascii="Times New Roman" w:eastAsia="Microsoft JhengHei" w:hAnsi="Times New Roman"/>
          <w:b/>
          <w:sz w:val="24"/>
          <w:szCs w:val="24"/>
        </w:rPr>
      </w:pPr>
    </w:p>
    <w:p w14:paraId="66D58EF3" w14:textId="77777777" w:rsidR="005364FA" w:rsidRDefault="005364FA" w:rsidP="0097397D">
      <w:pPr>
        <w:spacing w:after="0" w:line="240" w:lineRule="auto"/>
        <w:jc w:val="center"/>
        <w:rPr>
          <w:rFonts w:ascii="Times New Roman" w:eastAsia="Microsoft JhengHei" w:hAnsi="Times New Roman"/>
          <w:b/>
          <w:sz w:val="24"/>
          <w:szCs w:val="24"/>
        </w:rPr>
      </w:pPr>
    </w:p>
    <w:p w14:paraId="05A96B48" w14:textId="05714E4D" w:rsidR="0097397D" w:rsidRDefault="0097397D" w:rsidP="0097397D">
      <w:pPr>
        <w:spacing w:after="0" w:line="240" w:lineRule="auto"/>
        <w:jc w:val="center"/>
        <w:rPr>
          <w:rFonts w:ascii="Times New Roman" w:eastAsia="Microsoft JhengHei" w:hAnsi="Times New Roman"/>
          <w:b/>
          <w:sz w:val="24"/>
          <w:szCs w:val="24"/>
        </w:rPr>
      </w:pPr>
      <w:r>
        <w:rPr>
          <w:rFonts w:ascii="Times New Roman" w:eastAsia="Microsoft JhengHei" w:hAnsi="Times New Roman"/>
          <w:b/>
          <w:sz w:val="24"/>
          <w:szCs w:val="24"/>
        </w:rPr>
        <w:t>MEDIA RELEASE</w:t>
      </w:r>
    </w:p>
    <w:p w14:paraId="4F854F72" w14:textId="77777777" w:rsidR="0097397D" w:rsidRDefault="0097397D" w:rsidP="0097397D">
      <w:pPr>
        <w:spacing w:after="0" w:line="240" w:lineRule="auto"/>
        <w:jc w:val="both"/>
        <w:rPr>
          <w:rFonts w:ascii="Times New Roman" w:eastAsia="Microsoft JhengHei" w:hAnsi="Times New Roman"/>
          <w:b/>
          <w:sz w:val="24"/>
          <w:szCs w:val="24"/>
        </w:rPr>
      </w:pPr>
    </w:p>
    <w:p w14:paraId="48459B49" w14:textId="77777777" w:rsidR="0097397D" w:rsidRPr="00831255" w:rsidRDefault="0097397D" w:rsidP="0097397D">
      <w:pPr>
        <w:spacing w:after="0" w:line="240" w:lineRule="auto"/>
        <w:jc w:val="both"/>
        <w:rPr>
          <w:rFonts w:ascii="Times New Roman" w:eastAsia="Microsoft JhengHei" w:hAnsi="Times New Roman"/>
          <w:b/>
          <w:sz w:val="24"/>
          <w:szCs w:val="24"/>
        </w:rPr>
      </w:pPr>
      <w:r w:rsidRPr="00831255">
        <w:rPr>
          <w:rFonts w:ascii="Times New Roman" w:eastAsia="Microsoft JhengHei" w:hAnsi="Times New Roman"/>
          <w:b/>
          <w:sz w:val="24"/>
          <w:szCs w:val="24"/>
        </w:rPr>
        <w:t>May 28, 2020</w:t>
      </w:r>
    </w:p>
    <w:p w14:paraId="31631550" w14:textId="77777777" w:rsidR="0097397D" w:rsidRPr="00831255" w:rsidRDefault="0097397D" w:rsidP="0097397D">
      <w:pPr>
        <w:jc w:val="both"/>
        <w:rPr>
          <w:rFonts w:ascii="Times New Roman" w:eastAsia="Microsoft JhengHei" w:hAnsi="Times New Roman"/>
          <w:sz w:val="24"/>
          <w:szCs w:val="24"/>
        </w:rPr>
      </w:pPr>
    </w:p>
    <w:p w14:paraId="41357714" w14:textId="77777777" w:rsidR="0097397D" w:rsidRDefault="0097397D" w:rsidP="0097397D">
      <w:pPr>
        <w:jc w:val="both"/>
        <w:rPr>
          <w:rFonts w:ascii="Times New Roman" w:eastAsia="Microsoft JhengHei" w:hAnsi="Times New Roman"/>
          <w:sz w:val="24"/>
          <w:szCs w:val="24"/>
        </w:rPr>
      </w:pPr>
      <w:r w:rsidRPr="00831255">
        <w:rPr>
          <w:rFonts w:ascii="Times New Roman" w:eastAsia="Microsoft JhengHei" w:hAnsi="Times New Roman"/>
          <w:sz w:val="24"/>
          <w:szCs w:val="24"/>
        </w:rPr>
        <w:t xml:space="preserve">The Integrity Commission wishes to inform the public and, in particular, to remind the </w:t>
      </w:r>
      <w:r w:rsidRPr="00831255">
        <w:rPr>
          <w:rFonts w:ascii="Times New Roman" w:eastAsia="Microsoft JhengHei" w:hAnsi="Times New Roman"/>
          <w:b/>
          <w:i/>
          <w:sz w:val="24"/>
          <w:szCs w:val="24"/>
        </w:rPr>
        <w:t>Specified Persons in Public Life</w:t>
      </w:r>
      <w:r w:rsidRPr="00831255">
        <w:rPr>
          <w:rFonts w:ascii="Times New Roman" w:eastAsia="Microsoft JhengHei" w:hAnsi="Times New Roman"/>
          <w:sz w:val="24"/>
          <w:szCs w:val="24"/>
        </w:rPr>
        <w:t xml:space="preserve"> (Declarants), as set out below</w:t>
      </w:r>
      <w:r w:rsidR="00831255" w:rsidRPr="00831255">
        <w:rPr>
          <w:rFonts w:ascii="Times New Roman" w:eastAsia="Microsoft JhengHei" w:hAnsi="Times New Roman"/>
          <w:sz w:val="24"/>
          <w:szCs w:val="24"/>
        </w:rPr>
        <w:t xml:space="preserve"> and in Schedule 1</w:t>
      </w:r>
      <w:r w:rsidRPr="00831255">
        <w:rPr>
          <w:rFonts w:ascii="Times New Roman" w:eastAsia="Microsoft JhengHei" w:hAnsi="Times New Roman"/>
          <w:sz w:val="24"/>
          <w:szCs w:val="24"/>
        </w:rPr>
        <w:t xml:space="preserve">, that they must file their Declarations of Income, Assets and Liabilities, as required by Section 39 of the TCI </w:t>
      </w:r>
      <w:r w:rsidR="00994B49">
        <w:rPr>
          <w:rFonts w:ascii="Times New Roman" w:eastAsia="Microsoft JhengHei" w:hAnsi="Times New Roman"/>
          <w:sz w:val="24"/>
          <w:szCs w:val="24"/>
        </w:rPr>
        <w:t xml:space="preserve">Integrity Commission Ordinance. </w:t>
      </w:r>
    </w:p>
    <w:p w14:paraId="3B260C03" w14:textId="77777777" w:rsidR="00DC6BFD" w:rsidRPr="007E1689" w:rsidRDefault="00994B49" w:rsidP="00DC6BFD">
      <w:pPr>
        <w:jc w:val="both"/>
        <w:rPr>
          <w:rFonts w:ascii="Times New Roman" w:eastAsia="Microsoft JhengHei" w:hAnsi="Times New Roman"/>
          <w:b/>
          <w:sz w:val="24"/>
          <w:szCs w:val="24"/>
          <w:u w:val="single"/>
        </w:rPr>
      </w:pPr>
      <w:r w:rsidRPr="007E1689">
        <w:rPr>
          <w:rFonts w:ascii="Times New Roman" w:eastAsia="Microsoft JhengHei" w:hAnsi="Times New Roman"/>
          <w:b/>
          <w:sz w:val="24"/>
          <w:szCs w:val="24"/>
          <w:u w:val="single"/>
        </w:rPr>
        <w:t xml:space="preserve">Due to the Covid-19 pandemic, the </w:t>
      </w:r>
      <w:r w:rsidR="00DC6BFD" w:rsidRPr="007E1689">
        <w:rPr>
          <w:rFonts w:ascii="Times New Roman" w:eastAsia="Microsoft JhengHei" w:hAnsi="Times New Roman"/>
          <w:b/>
          <w:sz w:val="24"/>
          <w:szCs w:val="24"/>
          <w:u w:val="single"/>
        </w:rPr>
        <w:t xml:space="preserve">filing of declarations, will take place, on an on-going basis, over the next few months. </w:t>
      </w:r>
    </w:p>
    <w:p w14:paraId="3DA7AF73" w14:textId="77777777" w:rsidR="00DC6BFD" w:rsidRPr="00831255" w:rsidRDefault="00DC6BFD" w:rsidP="00DC6BFD">
      <w:pPr>
        <w:jc w:val="both"/>
        <w:rPr>
          <w:rFonts w:ascii="Times New Roman" w:eastAsia="Microsoft JhengHei" w:hAnsi="Times New Roman"/>
          <w:b/>
          <w:sz w:val="24"/>
          <w:szCs w:val="24"/>
        </w:rPr>
      </w:pPr>
      <w:r w:rsidRPr="00831255">
        <w:rPr>
          <w:rFonts w:ascii="Times New Roman" w:eastAsia="Microsoft JhengHei" w:hAnsi="Times New Roman"/>
          <w:sz w:val="24"/>
          <w:szCs w:val="24"/>
        </w:rPr>
        <w:t xml:space="preserve">All Declarants are required to deliver their completed Declaration forms, along with the relevant supporting documents, </w:t>
      </w:r>
      <w:r w:rsidRPr="00831255">
        <w:rPr>
          <w:rFonts w:ascii="Times New Roman" w:eastAsia="Microsoft JhengHei" w:hAnsi="Times New Roman"/>
          <w:b/>
          <w:sz w:val="24"/>
          <w:szCs w:val="24"/>
        </w:rPr>
        <w:t>in person</w:t>
      </w:r>
      <w:r w:rsidRPr="00831255">
        <w:rPr>
          <w:rFonts w:ascii="Times New Roman" w:eastAsia="Microsoft JhengHei" w:hAnsi="Times New Roman"/>
          <w:sz w:val="24"/>
          <w:szCs w:val="24"/>
        </w:rPr>
        <w:t>, at an office of the Commission,</w:t>
      </w:r>
      <w:r w:rsidRPr="00831255">
        <w:rPr>
          <w:rFonts w:ascii="Times New Roman" w:eastAsia="Microsoft JhengHei" w:hAnsi="Times New Roman"/>
          <w:b/>
          <w:sz w:val="24"/>
          <w:szCs w:val="24"/>
        </w:rPr>
        <w:t xml:space="preserve"> </w:t>
      </w:r>
      <w:r w:rsidR="00C6251D" w:rsidRPr="00C6251D">
        <w:rPr>
          <w:rFonts w:ascii="Times New Roman" w:eastAsia="Microsoft JhengHei" w:hAnsi="Times New Roman"/>
          <w:b/>
          <w:sz w:val="24"/>
          <w:szCs w:val="24"/>
          <w:u w:val="single"/>
        </w:rPr>
        <w:t>BY APPOINTMENT ONLY</w:t>
      </w:r>
      <w:r w:rsidRPr="00831255">
        <w:rPr>
          <w:rFonts w:ascii="Times New Roman" w:eastAsia="Microsoft JhengHei" w:hAnsi="Times New Roman"/>
          <w:b/>
          <w:sz w:val="24"/>
          <w:szCs w:val="24"/>
        </w:rPr>
        <w:t xml:space="preserve">. </w:t>
      </w:r>
    </w:p>
    <w:p w14:paraId="650298E1" w14:textId="77777777" w:rsidR="00DC6BFD" w:rsidRDefault="00DC6BFD" w:rsidP="0097397D">
      <w:pPr>
        <w:jc w:val="both"/>
        <w:rPr>
          <w:rFonts w:ascii="Times New Roman" w:eastAsia="Microsoft JhengHei" w:hAnsi="Times New Roman"/>
          <w:sz w:val="24"/>
          <w:szCs w:val="24"/>
        </w:rPr>
      </w:pPr>
      <w:r w:rsidRPr="00831255">
        <w:rPr>
          <w:rFonts w:ascii="Times New Roman" w:eastAsia="Microsoft JhengHei" w:hAnsi="Times New Roman"/>
          <w:sz w:val="24"/>
          <w:szCs w:val="24"/>
        </w:rPr>
        <w:t xml:space="preserve">Declarants will be contacted individually, with a </w:t>
      </w:r>
      <w:r w:rsidRPr="00831255">
        <w:rPr>
          <w:rFonts w:ascii="Times New Roman" w:eastAsia="Microsoft JhengHei" w:hAnsi="Times New Roman"/>
          <w:b/>
          <w:sz w:val="24"/>
          <w:szCs w:val="24"/>
        </w:rPr>
        <w:t>specific date, time and location</w:t>
      </w:r>
      <w:r w:rsidRPr="00831255">
        <w:rPr>
          <w:rFonts w:ascii="Times New Roman" w:eastAsia="Microsoft JhengHei" w:hAnsi="Times New Roman"/>
          <w:sz w:val="24"/>
          <w:szCs w:val="24"/>
        </w:rPr>
        <w:t xml:space="preserve">, for delivery of declaration forms. </w:t>
      </w:r>
    </w:p>
    <w:p w14:paraId="2FAFE23B" w14:textId="77777777" w:rsidR="0097397D" w:rsidRPr="00831255" w:rsidRDefault="0097397D" w:rsidP="0097397D">
      <w:pPr>
        <w:jc w:val="both"/>
        <w:rPr>
          <w:rFonts w:ascii="Times New Roman" w:eastAsia="Microsoft JhengHei" w:hAnsi="Times New Roman"/>
          <w:sz w:val="24"/>
          <w:szCs w:val="24"/>
        </w:rPr>
      </w:pPr>
      <w:r w:rsidRPr="00831255">
        <w:rPr>
          <w:rFonts w:ascii="Times New Roman" w:eastAsia="Microsoft JhengHei" w:hAnsi="Times New Roman"/>
          <w:sz w:val="24"/>
          <w:szCs w:val="24"/>
        </w:rPr>
        <w:t>Specified Persons in Public Life include the following:</w:t>
      </w:r>
    </w:p>
    <w:p w14:paraId="0986B9E5" w14:textId="77777777" w:rsidR="0097397D" w:rsidRPr="00831255" w:rsidRDefault="0097397D" w:rsidP="0097397D">
      <w:pPr>
        <w:pStyle w:val="ListParagraph"/>
        <w:numPr>
          <w:ilvl w:val="0"/>
          <w:numId w:val="1"/>
        </w:numPr>
        <w:jc w:val="both"/>
        <w:rPr>
          <w:rFonts w:ascii="Times New Roman" w:eastAsia="Microsoft JhengHei" w:hAnsi="Times New Roman"/>
          <w:sz w:val="24"/>
          <w:szCs w:val="24"/>
        </w:rPr>
      </w:pPr>
      <w:r w:rsidRPr="00831255">
        <w:rPr>
          <w:rFonts w:ascii="Times New Roman" w:eastAsia="Microsoft JhengHei" w:hAnsi="Times New Roman"/>
          <w:sz w:val="24"/>
          <w:szCs w:val="24"/>
        </w:rPr>
        <w:t>All Specified Persons in Public Life who made their last filing on or before June 30, 2018.</w:t>
      </w:r>
    </w:p>
    <w:p w14:paraId="10962C1C" w14:textId="77777777" w:rsidR="0097397D" w:rsidRPr="00831255" w:rsidRDefault="0097397D" w:rsidP="0097397D">
      <w:pPr>
        <w:pStyle w:val="ListParagraph"/>
        <w:numPr>
          <w:ilvl w:val="0"/>
          <w:numId w:val="1"/>
        </w:numPr>
        <w:jc w:val="both"/>
        <w:rPr>
          <w:rFonts w:ascii="Times New Roman" w:eastAsia="Microsoft JhengHei" w:hAnsi="Times New Roman"/>
          <w:sz w:val="24"/>
          <w:szCs w:val="24"/>
        </w:rPr>
      </w:pPr>
      <w:r w:rsidRPr="00831255">
        <w:rPr>
          <w:rFonts w:ascii="Times New Roman" w:eastAsia="Microsoft JhengHei" w:hAnsi="Times New Roman"/>
          <w:sz w:val="24"/>
          <w:szCs w:val="24"/>
        </w:rPr>
        <w:t>All persons who are appointed to Statutory Boards, effective April 1, 2020, or thereafter.</w:t>
      </w:r>
    </w:p>
    <w:p w14:paraId="6C26DE33" w14:textId="77777777" w:rsidR="0097397D" w:rsidRPr="00831255" w:rsidRDefault="0097397D" w:rsidP="0097397D">
      <w:pPr>
        <w:pStyle w:val="ListParagraph"/>
        <w:numPr>
          <w:ilvl w:val="0"/>
          <w:numId w:val="1"/>
        </w:numPr>
        <w:jc w:val="both"/>
        <w:rPr>
          <w:rFonts w:ascii="Times New Roman" w:eastAsia="Microsoft JhengHei" w:hAnsi="Times New Roman"/>
          <w:sz w:val="24"/>
          <w:szCs w:val="24"/>
        </w:rPr>
      </w:pPr>
      <w:r w:rsidRPr="00831255">
        <w:rPr>
          <w:rFonts w:ascii="Times New Roman" w:eastAsia="Microsoft JhengHei" w:hAnsi="Times New Roman"/>
          <w:sz w:val="24"/>
          <w:szCs w:val="24"/>
        </w:rPr>
        <w:t>All Specified Persons in Public Life who are appointed, within the TCIG Government, effective April 1, 2020, or thereafter.</w:t>
      </w:r>
    </w:p>
    <w:p w14:paraId="2A2734ED" w14:textId="77777777" w:rsidR="0097397D" w:rsidRPr="00831255" w:rsidRDefault="0097397D" w:rsidP="0097397D">
      <w:pPr>
        <w:pStyle w:val="ListParagraph"/>
        <w:numPr>
          <w:ilvl w:val="0"/>
          <w:numId w:val="1"/>
        </w:numPr>
        <w:jc w:val="both"/>
        <w:rPr>
          <w:rFonts w:ascii="Times New Roman" w:eastAsia="Microsoft JhengHei" w:hAnsi="Times New Roman"/>
          <w:sz w:val="24"/>
          <w:szCs w:val="24"/>
        </w:rPr>
      </w:pPr>
      <w:r w:rsidRPr="00831255">
        <w:rPr>
          <w:rFonts w:ascii="Times New Roman" w:eastAsia="Microsoft JhengHei" w:hAnsi="Times New Roman"/>
          <w:sz w:val="24"/>
          <w:szCs w:val="24"/>
        </w:rPr>
        <w:t>All persons who are no longer sitting members of Statutory Boards, as at March 31, 2020.</w:t>
      </w:r>
    </w:p>
    <w:p w14:paraId="3D263F3D" w14:textId="77777777" w:rsidR="0097397D" w:rsidRPr="00831255" w:rsidRDefault="0097397D" w:rsidP="0097397D">
      <w:pPr>
        <w:pStyle w:val="ListParagraph"/>
        <w:numPr>
          <w:ilvl w:val="0"/>
          <w:numId w:val="1"/>
        </w:numPr>
        <w:jc w:val="both"/>
        <w:rPr>
          <w:rFonts w:ascii="Times New Roman" w:eastAsia="Microsoft JhengHei" w:hAnsi="Times New Roman"/>
          <w:sz w:val="24"/>
          <w:szCs w:val="24"/>
        </w:rPr>
      </w:pPr>
      <w:r w:rsidRPr="00831255">
        <w:rPr>
          <w:rFonts w:ascii="Times New Roman" w:eastAsia="Microsoft JhengHei" w:hAnsi="Times New Roman"/>
          <w:sz w:val="24"/>
          <w:szCs w:val="24"/>
        </w:rPr>
        <w:t>All persons who have resigned their posts, or whose contracts have not been renewed, within the TCIG Government, are required to file within 90 days of the end of their tenure.</w:t>
      </w:r>
    </w:p>
    <w:p w14:paraId="7F54EA83" w14:textId="77777777" w:rsidR="0097397D" w:rsidRPr="00831255" w:rsidRDefault="0097397D" w:rsidP="0097397D">
      <w:pPr>
        <w:pStyle w:val="ListParagraph"/>
        <w:numPr>
          <w:ilvl w:val="0"/>
          <w:numId w:val="1"/>
        </w:numPr>
        <w:jc w:val="both"/>
        <w:rPr>
          <w:rFonts w:ascii="Times New Roman" w:eastAsia="Microsoft JhengHei" w:hAnsi="Times New Roman"/>
          <w:sz w:val="24"/>
          <w:szCs w:val="24"/>
        </w:rPr>
      </w:pPr>
      <w:r w:rsidRPr="00831255">
        <w:rPr>
          <w:rFonts w:ascii="Times New Roman" w:eastAsia="Microsoft JhengHei" w:hAnsi="Times New Roman"/>
          <w:sz w:val="24"/>
          <w:szCs w:val="24"/>
        </w:rPr>
        <w:t>All other persons who are considered Specified Persons in Public Life, but who would not have been aware of their obligation to file, under section 39 the Integrity Commission Ordinance.</w:t>
      </w:r>
    </w:p>
    <w:p w14:paraId="77B59E3F" w14:textId="77777777" w:rsidR="0097397D" w:rsidRPr="00831255" w:rsidRDefault="0097397D" w:rsidP="0097397D">
      <w:pPr>
        <w:jc w:val="both"/>
        <w:rPr>
          <w:rFonts w:ascii="Times New Roman" w:eastAsia="Microsoft JhengHei" w:hAnsi="Times New Roman"/>
          <w:sz w:val="24"/>
          <w:szCs w:val="24"/>
        </w:rPr>
      </w:pPr>
      <w:r w:rsidRPr="00831255">
        <w:rPr>
          <w:rFonts w:ascii="Times New Roman" w:eastAsia="Microsoft JhengHei" w:hAnsi="Times New Roman"/>
          <w:sz w:val="24"/>
          <w:szCs w:val="24"/>
        </w:rPr>
        <w:t xml:space="preserve">Declaration Forms are available on the Commission’s website at: </w:t>
      </w:r>
      <w:hyperlink r:id="rId7" w:history="1">
        <w:r w:rsidRPr="00831255">
          <w:rPr>
            <w:rStyle w:val="Hyperlink"/>
            <w:rFonts w:ascii="Times New Roman" w:eastAsia="Microsoft JhengHei" w:hAnsi="Times New Roman"/>
            <w:sz w:val="24"/>
            <w:szCs w:val="24"/>
          </w:rPr>
          <w:t>www.integritycommission.tc</w:t>
        </w:r>
      </w:hyperlink>
      <w:r w:rsidRPr="00831255">
        <w:rPr>
          <w:rFonts w:ascii="Times New Roman" w:eastAsia="Microsoft JhengHei" w:hAnsi="Times New Roman"/>
          <w:color w:val="2E74B5"/>
          <w:sz w:val="24"/>
          <w:szCs w:val="24"/>
        </w:rPr>
        <w:t>.</w:t>
      </w:r>
    </w:p>
    <w:p w14:paraId="0D84BE11" w14:textId="77777777" w:rsidR="0097397D" w:rsidRPr="00831255" w:rsidRDefault="00C6251D" w:rsidP="0097397D">
      <w:pPr>
        <w:pStyle w:val="NormalWeb"/>
        <w:rPr>
          <w:rFonts w:eastAsiaTheme="minorHAnsi"/>
        </w:rPr>
      </w:pPr>
      <w:r>
        <w:t>T</w:t>
      </w:r>
      <w:r w:rsidR="0097397D" w:rsidRPr="00831255">
        <w:t xml:space="preserve">he offices of the </w:t>
      </w:r>
      <w:r w:rsidR="0097397D" w:rsidRPr="00831255">
        <w:rPr>
          <w:lang w:val="en"/>
        </w:rPr>
        <w:t xml:space="preserve">Integrity Commission are currently open, from </w:t>
      </w:r>
      <w:r w:rsidR="0097397D" w:rsidRPr="00831255">
        <w:rPr>
          <w:b/>
          <w:bCs/>
          <w:u w:val="single"/>
          <w:lang w:val="en"/>
        </w:rPr>
        <w:t>Monday to Friday, 9:00 a.m. to 2:00 p.m. daily</w:t>
      </w:r>
      <w:r w:rsidR="0097397D" w:rsidRPr="00831255">
        <w:rPr>
          <w:lang w:val="en"/>
        </w:rPr>
        <w:t>.</w:t>
      </w:r>
    </w:p>
    <w:p w14:paraId="387C4A4C" w14:textId="77777777" w:rsidR="0097397D" w:rsidRPr="00831255" w:rsidRDefault="0097397D" w:rsidP="0097397D">
      <w:pPr>
        <w:shd w:val="clear" w:color="auto" w:fill="FFFFFF"/>
        <w:spacing w:before="240" w:after="240"/>
        <w:jc w:val="both"/>
        <w:rPr>
          <w:rFonts w:ascii="Times New Roman" w:hAnsi="Times New Roman"/>
          <w:sz w:val="24"/>
          <w:szCs w:val="24"/>
        </w:rPr>
      </w:pPr>
      <w:r w:rsidRPr="00831255">
        <w:rPr>
          <w:rFonts w:ascii="Times New Roman" w:hAnsi="Times New Roman"/>
          <w:sz w:val="24"/>
          <w:szCs w:val="24"/>
          <w:lang w:val="en"/>
        </w:rPr>
        <w:t xml:space="preserve">For any inquiries about an appointment, please call 946-1941 or send an email to </w:t>
      </w:r>
      <w:hyperlink r:id="rId8" w:history="1">
        <w:r w:rsidRPr="00831255">
          <w:rPr>
            <w:rStyle w:val="Hyperlink"/>
            <w:rFonts w:ascii="Times New Roman" w:hAnsi="Times New Roman"/>
            <w:color w:val="auto"/>
            <w:sz w:val="24"/>
            <w:szCs w:val="24"/>
          </w:rPr>
          <w:t>complianceofficer@integritycommission.tc</w:t>
        </w:r>
      </w:hyperlink>
    </w:p>
    <w:p w14:paraId="133B2153" w14:textId="77777777" w:rsidR="0097397D" w:rsidRPr="00831255" w:rsidRDefault="0097397D" w:rsidP="0097397D">
      <w:pPr>
        <w:shd w:val="clear" w:color="auto" w:fill="FFFFFF"/>
        <w:spacing w:before="240" w:after="240"/>
        <w:jc w:val="both"/>
        <w:rPr>
          <w:rFonts w:ascii="Times New Roman" w:hAnsi="Times New Roman"/>
          <w:sz w:val="24"/>
          <w:szCs w:val="24"/>
          <w:lang w:val="en"/>
        </w:rPr>
      </w:pPr>
      <w:r w:rsidRPr="00831255">
        <w:rPr>
          <w:rFonts w:ascii="Times New Roman" w:hAnsi="Times New Roman"/>
          <w:sz w:val="24"/>
          <w:szCs w:val="24"/>
          <w:lang w:val="en"/>
        </w:rPr>
        <w:lastRenderedPageBreak/>
        <w:t xml:space="preserve">All members of the public visiting our Offices </w:t>
      </w:r>
      <w:r w:rsidRPr="00831255">
        <w:rPr>
          <w:rFonts w:ascii="Times New Roman" w:hAnsi="Times New Roman"/>
          <w:b/>
          <w:bCs/>
          <w:sz w:val="24"/>
          <w:szCs w:val="24"/>
          <w:u w:val="single"/>
          <w:lang w:val="en"/>
        </w:rPr>
        <w:t>MUST</w:t>
      </w:r>
      <w:r w:rsidRPr="00831255">
        <w:rPr>
          <w:rFonts w:ascii="Times New Roman" w:hAnsi="Times New Roman"/>
          <w:sz w:val="24"/>
          <w:szCs w:val="24"/>
          <w:lang w:val="en"/>
        </w:rPr>
        <w:t xml:space="preserve"> wear a </w:t>
      </w:r>
      <w:r w:rsidRPr="00831255">
        <w:rPr>
          <w:rFonts w:ascii="Times New Roman" w:hAnsi="Times New Roman"/>
          <w:b/>
          <w:bCs/>
          <w:sz w:val="24"/>
          <w:szCs w:val="24"/>
          <w:u w:val="single"/>
          <w:lang w:val="en"/>
        </w:rPr>
        <w:t>FACE MASK</w:t>
      </w:r>
      <w:r w:rsidRPr="00831255">
        <w:rPr>
          <w:rFonts w:ascii="Times New Roman" w:hAnsi="Times New Roman"/>
          <w:sz w:val="24"/>
          <w:szCs w:val="24"/>
          <w:lang w:val="en"/>
        </w:rPr>
        <w:t xml:space="preserve"> and observe </w:t>
      </w:r>
      <w:r w:rsidRPr="00831255">
        <w:rPr>
          <w:rFonts w:ascii="Times New Roman" w:hAnsi="Times New Roman"/>
          <w:b/>
          <w:bCs/>
          <w:sz w:val="24"/>
          <w:szCs w:val="24"/>
          <w:u w:val="single"/>
          <w:lang w:val="en"/>
        </w:rPr>
        <w:t>SOCIAL DISTANCING</w:t>
      </w:r>
      <w:r w:rsidRPr="00831255">
        <w:rPr>
          <w:rFonts w:ascii="Times New Roman" w:hAnsi="Times New Roman"/>
          <w:sz w:val="24"/>
          <w:szCs w:val="24"/>
          <w:lang w:val="en"/>
        </w:rPr>
        <w:t xml:space="preserve">. </w:t>
      </w:r>
    </w:p>
    <w:p w14:paraId="5E7A2D37" w14:textId="77777777" w:rsidR="0097397D" w:rsidRPr="00831255" w:rsidRDefault="0097397D" w:rsidP="0097397D">
      <w:pPr>
        <w:shd w:val="clear" w:color="auto" w:fill="FFFFFF"/>
        <w:spacing w:before="240"/>
        <w:jc w:val="both"/>
        <w:rPr>
          <w:rFonts w:ascii="Times New Roman" w:hAnsi="Times New Roman"/>
          <w:sz w:val="24"/>
          <w:szCs w:val="24"/>
          <w:lang w:val="en"/>
        </w:rPr>
      </w:pPr>
      <w:r w:rsidRPr="00831255">
        <w:rPr>
          <w:rFonts w:ascii="Times New Roman" w:hAnsi="Times New Roman"/>
          <w:sz w:val="24"/>
          <w:szCs w:val="24"/>
          <w:lang w:val="en"/>
        </w:rPr>
        <w:t xml:space="preserve">There will be </w:t>
      </w:r>
      <w:r w:rsidRPr="00831255">
        <w:rPr>
          <w:rFonts w:ascii="Times New Roman" w:hAnsi="Times New Roman"/>
          <w:b/>
          <w:bCs/>
          <w:sz w:val="24"/>
          <w:szCs w:val="24"/>
          <w:u w:val="single"/>
          <w:lang w:val="en"/>
        </w:rPr>
        <w:t>no exceptions</w:t>
      </w:r>
      <w:r w:rsidRPr="00831255">
        <w:rPr>
          <w:rFonts w:ascii="Times New Roman" w:hAnsi="Times New Roman"/>
          <w:sz w:val="24"/>
          <w:szCs w:val="24"/>
          <w:lang w:val="en"/>
        </w:rPr>
        <w:t xml:space="preserve"> to the above arrangements. </w:t>
      </w:r>
    </w:p>
    <w:p w14:paraId="10257C70" w14:textId="77777777" w:rsidR="00DC6BFD" w:rsidRDefault="00DC6BFD" w:rsidP="0097397D">
      <w:pPr>
        <w:jc w:val="both"/>
        <w:rPr>
          <w:rFonts w:ascii="Times New Roman" w:eastAsia="Microsoft JhengHei" w:hAnsi="Times New Roman"/>
          <w:sz w:val="24"/>
          <w:szCs w:val="24"/>
        </w:rPr>
      </w:pPr>
      <w:r>
        <w:rPr>
          <w:rFonts w:ascii="Times New Roman" w:eastAsia="Microsoft JhengHei" w:hAnsi="Times New Roman"/>
          <w:sz w:val="24"/>
          <w:szCs w:val="24"/>
        </w:rPr>
        <w:t>For those declarants who fail to attend their scheduled appointment</w:t>
      </w:r>
      <w:r w:rsidR="00C6251D">
        <w:rPr>
          <w:rFonts w:ascii="Times New Roman" w:eastAsia="Microsoft JhengHei" w:hAnsi="Times New Roman"/>
          <w:sz w:val="24"/>
          <w:szCs w:val="24"/>
        </w:rPr>
        <w:t xml:space="preserve">, please </w:t>
      </w:r>
      <w:r>
        <w:rPr>
          <w:rFonts w:ascii="Times New Roman" w:eastAsia="Microsoft JhengHei" w:hAnsi="Times New Roman"/>
          <w:sz w:val="24"/>
          <w:szCs w:val="24"/>
        </w:rPr>
        <w:t xml:space="preserve">be mindful of the following: </w:t>
      </w:r>
    </w:p>
    <w:p w14:paraId="092385EB" w14:textId="77777777" w:rsidR="0097397D" w:rsidRPr="00831255" w:rsidRDefault="00DC6BFD" w:rsidP="0097397D">
      <w:pPr>
        <w:jc w:val="both"/>
        <w:rPr>
          <w:rFonts w:ascii="Times New Roman" w:eastAsia="Microsoft JhengHei" w:hAnsi="Times New Roman"/>
          <w:color w:val="FF0000"/>
          <w:sz w:val="24"/>
          <w:szCs w:val="24"/>
        </w:rPr>
      </w:pPr>
      <w:r>
        <w:rPr>
          <w:rFonts w:ascii="Times New Roman" w:eastAsia="Microsoft JhengHei" w:hAnsi="Times New Roman"/>
          <w:b/>
          <w:color w:val="FF0000"/>
          <w:sz w:val="24"/>
          <w:szCs w:val="24"/>
        </w:rPr>
        <w:t>A</w:t>
      </w:r>
      <w:r w:rsidR="0097397D" w:rsidRPr="00831255">
        <w:rPr>
          <w:rFonts w:ascii="Times New Roman" w:eastAsia="Microsoft JhengHei" w:hAnsi="Times New Roman"/>
          <w:b/>
          <w:color w:val="FF0000"/>
          <w:sz w:val="24"/>
          <w:szCs w:val="24"/>
        </w:rPr>
        <w:t xml:space="preserve"> failure, without reasonable cause, to file a Declaration is a criminal offence, punishable with imprisonment for 1 year, or a fine of $15,000, or both. In addition, the Commission is, among other things, obligated to publish the fact of such failure in the Gazette</w:t>
      </w:r>
      <w:r w:rsidR="0097397D" w:rsidRPr="00831255">
        <w:rPr>
          <w:rFonts w:ascii="Times New Roman" w:eastAsia="Microsoft JhengHei" w:hAnsi="Times New Roman"/>
          <w:color w:val="FF0000"/>
          <w:sz w:val="24"/>
          <w:szCs w:val="24"/>
        </w:rPr>
        <w:t>.</w:t>
      </w:r>
    </w:p>
    <w:p w14:paraId="32D548D0" w14:textId="77777777" w:rsidR="00DC6BFD" w:rsidRPr="00831255" w:rsidRDefault="00DC6BFD" w:rsidP="00DC6BFD">
      <w:pPr>
        <w:jc w:val="both"/>
        <w:rPr>
          <w:rFonts w:ascii="Times New Roman" w:eastAsia="Microsoft JhengHei" w:hAnsi="Times New Roman"/>
          <w:sz w:val="24"/>
          <w:szCs w:val="24"/>
        </w:rPr>
      </w:pPr>
      <w:r w:rsidRPr="00831255">
        <w:rPr>
          <w:rFonts w:ascii="Times New Roman" w:eastAsia="Microsoft JhengHei" w:hAnsi="Times New Roman"/>
          <w:sz w:val="24"/>
          <w:szCs w:val="24"/>
        </w:rPr>
        <w:t>All Declarations are confidential documents. Please</w:t>
      </w:r>
      <w:r w:rsidRPr="00831255">
        <w:rPr>
          <w:rFonts w:ascii="Times New Roman" w:eastAsia="Microsoft JhengHei" w:hAnsi="Times New Roman"/>
          <w:b/>
          <w:sz w:val="24"/>
          <w:szCs w:val="24"/>
        </w:rPr>
        <w:t xml:space="preserve"> </w:t>
      </w:r>
      <w:r w:rsidRPr="00831255">
        <w:rPr>
          <w:rFonts w:ascii="Times New Roman" w:eastAsia="Microsoft JhengHei" w:hAnsi="Times New Roman"/>
          <w:b/>
          <w:sz w:val="24"/>
          <w:szCs w:val="24"/>
          <w:u w:val="single"/>
        </w:rPr>
        <w:t>DO NOT</w:t>
      </w:r>
      <w:r w:rsidRPr="00831255">
        <w:rPr>
          <w:rFonts w:ascii="Times New Roman" w:eastAsia="Microsoft JhengHei" w:hAnsi="Times New Roman"/>
          <w:b/>
          <w:sz w:val="24"/>
          <w:szCs w:val="24"/>
        </w:rPr>
        <w:t xml:space="preserve"> </w:t>
      </w:r>
      <w:r w:rsidRPr="00831255">
        <w:rPr>
          <w:rFonts w:ascii="Times New Roman" w:eastAsia="Microsoft JhengHei" w:hAnsi="Times New Roman"/>
          <w:sz w:val="24"/>
          <w:szCs w:val="24"/>
        </w:rPr>
        <w:t xml:space="preserve">submit your completed Declaration form through a third party, </w:t>
      </w:r>
      <w:r>
        <w:rPr>
          <w:rFonts w:ascii="Times New Roman" w:eastAsia="Microsoft JhengHei" w:hAnsi="Times New Roman"/>
          <w:sz w:val="24"/>
          <w:szCs w:val="24"/>
        </w:rPr>
        <w:t>or</w:t>
      </w:r>
      <w:r w:rsidRPr="00831255">
        <w:rPr>
          <w:rFonts w:ascii="Times New Roman" w:eastAsia="Microsoft JhengHei" w:hAnsi="Times New Roman"/>
          <w:sz w:val="24"/>
          <w:szCs w:val="24"/>
        </w:rPr>
        <w:t xml:space="preserve"> via electronic or surface mail.</w:t>
      </w:r>
      <w:r w:rsidRPr="00831255">
        <w:rPr>
          <w:rFonts w:ascii="Times New Roman" w:eastAsia="Microsoft JhengHei" w:hAnsi="Times New Roman"/>
          <w:b/>
          <w:sz w:val="24"/>
          <w:szCs w:val="24"/>
        </w:rPr>
        <w:t xml:space="preserve">  </w:t>
      </w:r>
    </w:p>
    <w:p w14:paraId="3B570F22" w14:textId="77777777" w:rsidR="0097397D" w:rsidRPr="00831255" w:rsidRDefault="0097397D" w:rsidP="0097397D">
      <w:pPr>
        <w:jc w:val="both"/>
        <w:rPr>
          <w:rFonts w:ascii="Times New Roman" w:eastAsia="Microsoft JhengHei" w:hAnsi="Times New Roman"/>
          <w:sz w:val="24"/>
          <w:szCs w:val="24"/>
        </w:rPr>
      </w:pPr>
      <w:r w:rsidRPr="00831255">
        <w:rPr>
          <w:rFonts w:ascii="Times New Roman" w:eastAsia="Microsoft JhengHei" w:hAnsi="Times New Roman"/>
          <w:sz w:val="24"/>
          <w:szCs w:val="24"/>
        </w:rPr>
        <w:t xml:space="preserve">Persons who have filed a Declaration during calendar year 2019, will </w:t>
      </w:r>
      <w:r w:rsidRPr="00831255">
        <w:rPr>
          <w:rFonts w:ascii="Times New Roman" w:eastAsia="Microsoft JhengHei" w:hAnsi="Times New Roman"/>
          <w:b/>
          <w:sz w:val="24"/>
          <w:szCs w:val="24"/>
          <w:u w:val="single"/>
        </w:rPr>
        <w:t>NOT</w:t>
      </w:r>
      <w:r w:rsidRPr="00831255">
        <w:rPr>
          <w:rFonts w:ascii="Times New Roman" w:eastAsia="Microsoft JhengHei" w:hAnsi="Times New Roman"/>
          <w:sz w:val="24"/>
          <w:szCs w:val="24"/>
        </w:rPr>
        <w:t xml:space="preserve"> be required to file in 2020. </w:t>
      </w:r>
    </w:p>
    <w:p w14:paraId="258621EB" w14:textId="01A0B8A5" w:rsidR="0097397D" w:rsidRDefault="0097397D" w:rsidP="0097397D">
      <w:r w:rsidRPr="00831255">
        <w:rPr>
          <w:rFonts w:ascii="Times New Roman" w:eastAsia="Microsoft JhengHei" w:hAnsi="Times New Roman"/>
          <w:b/>
          <w:sz w:val="24"/>
          <w:szCs w:val="24"/>
        </w:rPr>
        <w:t>Schedule 1</w:t>
      </w:r>
      <w:r w:rsidR="00831255">
        <w:rPr>
          <w:rFonts w:ascii="Times New Roman" w:eastAsia="Microsoft JhengHei" w:hAnsi="Times New Roman"/>
          <w:sz w:val="24"/>
          <w:szCs w:val="24"/>
        </w:rPr>
        <w:t xml:space="preserve"> below details </w:t>
      </w:r>
      <w:r w:rsidRPr="00831255">
        <w:rPr>
          <w:rFonts w:ascii="Times New Roman" w:eastAsia="Microsoft JhengHei" w:hAnsi="Times New Roman"/>
          <w:sz w:val="24"/>
          <w:szCs w:val="24"/>
        </w:rPr>
        <w:t>all</w:t>
      </w:r>
      <w:r w:rsidRPr="00831255">
        <w:rPr>
          <w:rFonts w:ascii="Times New Roman" w:hAnsi="Times New Roman"/>
          <w:sz w:val="24"/>
          <w:szCs w:val="24"/>
        </w:rPr>
        <w:t xml:space="preserve"> </w:t>
      </w:r>
      <w:r w:rsidRPr="00831255">
        <w:rPr>
          <w:rFonts w:ascii="Times New Roman" w:eastAsia="Microsoft JhengHei" w:hAnsi="Times New Roman"/>
          <w:b/>
          <w:i/>
          <w:sz w:val="24"/>
          <w:szCs w:val="24"/>
        </w:rPr>
        <w:t>Specified Persons in Public Life</w:t>
      </w:r>
      <w:r w:rsidRPr="00831255">
        <w:rPr>
          <w:rFonts w:ascii="Times New Roman" w:eastAsia="Microsoft JhengHei" w:hAnsi="Times New Roman"/>
          <w:sz w:val="24"/>
          <w:szCs w:val="24"/>
        </w:rPr>
        <w:t xml:space="preserve"> (Declarants) who are required to file a declaration. </w:t>
      </w:r>
    </w:p>
    <w:p w14:paraId="25D004B2" w14:textId="77777777" w:rsidR="0097397D" w:rsidRPr="0097397D" w:rsidRDefault="0097397D" w:rsidP="0097397D">
      <w:pPr>
        <w:spacing w:after="160" w:line="259" w:lineRule="auto"/>
        <w:ind w:left="2880" w:firstLine="720"/>
        <w:rPr>
          <w:rFonts w:ascii="Times New Roman" w:eastAsiaTheme="minorHAnsi" w:hAnsi="Times New Roman"/>
          <w:b/>
          <w:lang w:val="en-US"/>
        </w:rPr>
      </w:pPr>
      <w:r w:rsidRPr="0097397D">
        <w:rPr>
          <w:rFonts w:ascii="Times New Roman" w:eastAsiaTheme="minorHAnsi" w:hAnsi="Times New Roman"/>
          <w:b/>
          <w:lang w:val="en-US"/>
        </w:rPr>
        <w:t xml:space="preserve">SCHEDULE 1 </w:t>
      </w:r>
    </w:p>
    <w:p w14:paraId="3850EFB7" w14:textId="77777777" w:rsidR="0097397D" w:rsidRPr="0097397D" w:rsidRDefault="0097397D" w:rsidP="0097397D">
      <w:pPr>
        <w:spacing w:after="160" w:line="259" w:lineRule="auto"/>
        <w:ind w:left="2880" w:firstLine="720"/>
        <w:rPr>
          <w:rFonts w:ascii="Times New Roman" w:eastAsiaTheme="minorHAnsi" w:hAnsi="Times New Roman"/>
          <w:b/>
          <w:lang w:val="en-US"/>
        </w:rPr>
      </w:pPr>
      <w:r w:rsidRPr="0097397D">
        <w:rPr>
          <w:rFonts w:ascii="Times New Roman" w:eastAsiaTheme="minorHAnsi" w:hAnsi="Times New Roman"/>
          <w:b/>
          <w:lang w:val="en-US"/>
        </w:rPr>
        <w:t xml:space="preserve">(Section 2) </w:t>
      </w:r>
    </w:p>
    <w:p w14:paraId="14090B29" w14:textId="77777777" w:rsidR="0097397D" w:rsidRPr="0097397D" w:rsidRDefault="0097397D" w:rsidP="0097397D">
      <w:pPr>
        <w:spacing w:after="160" w:line="259" w:lineRule="auto"/>
        <w:ind w:left="2160"/>
        <w:rPr>
          <w:rFonts w:ascii="Times New Roman" w:eastAsiaTheme="minorHAnsi" w:hAnsi="Times New Roman"/>
          <w:b/>
          <w:lang w:val="en-US"/>
        </w:rPr>
      </w:pPr>
      <w:r w:rsidRPr="0097397D">
        <w:rPr>
          <w:rFonts w:ascii="Times New Roman" w:eastAsiaTheme="minorHAnsi" w:hAnsi="Times New Roman"/>
          <w:b/>
          <w:lang w:val="en-US"/>
        </w:rPr>
        <w:t xml:space="preserve">SPECIFIED PERSONS IN PUBLIC LIFE </w:t>
      </w:r>
    </w:p>
    <w:p w14:paraId="39FDE8E7" w14:textId="77777777" w:rsidR="0097397D" w:rsidRPr="0097397D" w:rsidRDefault="0097397D" w:rsidP="0097397D">
      <w:pPr>
        <w:spacing w:after="160" w:line="259" w:lineRule="auto"/>
        <w:ind w:left="2160"/>
        <w:rPr>
          <w:rFonts w:ascii="Times New Roman" w:eastAsiaTheme="minorHAnsi" w:hAnsi="Times New Roman"/>
          <w:lang w:val="en-US"/>
        </w:rPr>
      </w:pPr>
    </w:p>
    <w:p w14:paraId="5CDCCAEB"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1.</w:t>
      </w:r>
      <w:r w:rsidRPr="0097397D">
        <w:rPr>
          <w:rFonts w:ascii="Times New Roman" w:eastAsiaTheme="minorHAnsi" w:hAnsi="Times New Roman"/>
          <w:lang w:val="en-US"/>
        </w:rPr>
        <w:tab/>
        <w:t xml:space="preserve">Members of the House of Assembly </w:t>
      </w:r>
    </w:p>
    <w:p w14:paraId="1D6193E2"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2.</w:t>
      </w:r>
      <w:r w:rsidRPr="0097397D">
        <w:rPr>
          <w:rFonts w:ascii="Times New Roman" w:eastAsiaTheme="minorHAnsi" w:hAnsi="Times New Roman"/>
          <w:lang w:val="en-US"/>
        </w:rPr>
        <w:tab/>
        <w:t xml:space="preserve">Members of Cabinet </w:t>
      </w:r>
    </w:p>
    <w:p w14:paraId="4372F7E7"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3.</w:t>
      </w:r>
      <w:r w:rsidRPr="0097397D">
        <w:rPr>
          <w:rFonts w:ascii="Times New Roman" w:eastAsiaTheme="minorHAnsi" w:hAnsi="Times New Roman"/>
          <w:lang w:val="en-US"/>
        </w:rPr>
        <w:tab/>
        <w:t xml:space="preserve">Deputy Governor </w:t>
      </w:r>
    </w:p>
    <w:p w14:paraId="2C9D389A"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4.</w:t>
      </w:r>
      <w:r w:rsidRPr="0097397D">
        <w:rPr>
          <w:rFonts w:ascii="Times New Roman" w:eastAsiaTheme="minorHAnsi" w:hAnsi="Times New Roman"/>
          <w:lang w:val="en-US"/>
        </w:rPr>
        <w:tab/>
        <w:t xml:space="preserve">Permanent Secretaries </w:t>
      </w:r>
    </w:p>
    <w:p w14:paraId="26914410"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5.</w:t>
      </w:r>
      <w:r w:rsidRPr="0097397D">
        <w:rPr>
          <w:rFonts w:ascii="Times New Roman" w:eastAsiaTheme="minorHAnsi" w:hAnsi="Times New Roman"/>
          <w:lang w:val="en-US"/>
        </w:rPr>
        <w:tab/>
        <w:t xml:space="preserve">Under Secretaries/Deputies Secretaries (or post of equivalent rank) </w:t>
      </w:r>
    </w:p>
    <w:p w14:paraId="2DECE4AB"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6.</w:t>
      </w:r>
      <w:r w:rsidRPr="0097397D">
        <w:rPr>
          <w:rFonts w:ascii="Times New Roman" w:eastAsiaTheme="minorHAnsi" w:hAnsi="Times New Roman"/>
          <w:lang w:val="en-US"/>
        </w:rPr>
        <w:tab/>
        <w:t xml:space="preserve">Clerk and Deputy Clerk of the House of Assembly </w:t>
      </w:r>
    </w:p>
    <w:p w14:paraId="740D3934"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7.</w:t>
      </w:r>
      <w:r w:rsidRPr="0097397D">
        <w:rPr>
          <w:rFonts w:ascii="Times New Roman" w:eastAsiaTheme="minorHAnsi" w:hAnsi="Times New Roman"/>
          <w:lang w:val="en-US"/>
        </w:rPr>
        <w:tab/>
        <w:t xml:space="preserve">Chief Financial Officer </w:t>
      </w:r>
    </w:p>
    <w:p w14:paraId="3A586BDD"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8.</w:t>
      </w:r>
      <w:r w:rsidRPr="0097397D">
        <w:rPr>
          <w:rFonts w:ascii="Times New Roman" w:eastAsiaTheme="minorHAnsi" w:hAnsi="Times New Roman"/>
          <w:lang w:val="en-US"/>
        </w:rPr>
        <w:tab/>
        <w:t xml:space="preserve">Chief Auditor </w:t>
      </w:r>
    </w:p>
    <w:p w14:paraId="6D2ECD62"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9.</w:t>
      </w:r>
      <w:r w:rsidRPr="0097397D">
        <w:rPr>
          <w:rFonts w:ascii="Times New Roman" w:eastAsiaTheme="minorHAnsi" w:hAnsi="Times New Roman"/>
          <w:lang w:val="en-US"/>
        </w:rPr>
        <w:tab/>
        <w:t xml:space="preserve">Accountant General </w:t>
      </w:r>
    </w:p>
    <w:p w14:paraId="378A091C"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10.</w:t>
      </w:r>
      <w:r w:rsidRPr="0097397D">
        <w:rPr>
          <w:rFonts w:ascii="Times New Roman" w:eastAsiaTheme="minorHAnsi" w:hAnsi="Times New Roman"/>
          <w:lang w:val="en-US"/>
        </w:rPr>
        <w:tab/>
        <w:t xml:space="preserve">Complaints Commissioner </w:t>
      </w:r>
    </w:p>
    <w:p w14:paraId="458C4F36"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11.</w:t>
      </w:r>
      <w:r w:rsidRPr="0097397D">
        <w:rPr>
          <w:rFonts w:ascii="Times New Roman" w:eastAsiaTheme="minorHAnsi" w:hAnsi="Times New Roman"/>
          <w:lang w:val="en-US"/>
        </w:rPr>
        <w:tab/>
        <w:t xml:space="preserve">Chief Economist </w:t>
      </w:r>
    </w:p>
    <w:p w14:paraId="32C7B4DE"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 xml:space="preserve">12  </w:t>
      </w:r>
      <w:r w:rsidRPr="0097397D">
        <w:rPr>
          <w:rFonts w:ascii="Times New Roman" w:eastAsiaTheme="minorHAnsi" w:hAnsi="Times New Roman"/>
          <w:lang w:val="en-US"/>
        </w:rPr>
        <w:tab/>
        <w:t xml:space="preserve">Chief Statistician </w:t>
      </w:r>
    </w:p>
    <w:p w14:paraId="327271DB"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lastRenderedPageBreak/>
        <w:t>13.</w:t>
      </w:r>
      <w:r w:rsidRPr="0097397D">
        <w:rPr>
          <w:rFonts w:ascii="Times New Roman" w:eastAsiaTheme="minorHAnsi" w:hAnsi="Times New Roman"/>
          <w:lang w:val="en-US"/>
        </w:rPr>
        <w:tab/>
        <w:t xml:space="preserve">Chief Medical Officer </w:t>
      </w:r>
    </w:p>
    <w:p w14:paraId="6B86A3CA"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14.</w:t>
      </w:r>
      <w:r w:rsidRPr="0097397D">
        <w:rPr>
          <w:rFonts w:ascii="Times New Roman" w:eastAsiaTheme="minorHAnsi" w:hAnsi="Times New Roman"/>
          <w:lang w:val="en-US"/>
        </w:rPr>
        <w:tab/>
        <w:t xml:space="preserve">Heads of Department </w:t>
      </w:r>
    </w:p>
    <w:p w14:paraId="2746764B"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15.</w:t>
      </w:r>
      <w:r w:rsidRPr="0097397D">
        <w:rPr>
          <w:rFonts w:ascii="Times New Roman" w:eastAsiaTheme="minorHAnsi" w:hAnsi="Times New Roman"/>
          <w:lang w:val="en-US"/>
        </w:rPr>
        <w:tab/>
        <w:t xml:space="preserve">Director and Deputy Director of Planning </w:t>
      </w:r>
    </w:p>
    <w:p w14:paraId="5534E31A"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16.</w:t>
      </w:r>
      <w:r w:rsidRPr="0097397D">
        <w:rPr>
          <w:rFonts w:ascii="Times New Roman" w:eastAsiaTheme="minorHAnsi" w:hAnsi="Times New Roman"/>
          <w:lang w:val="en-US"/>
        </w:rPr>
        <w:tab/>
        <w:t xml:space="preserve">Director and Deputy Director of Surveys and Mapping </w:t>
      </w:r>
    </w:p>
    <w:p w14:paraId="68F93DB3"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17.</w:t>
      </w:r>
      <w:r w:rsidRPr="0097397D">
        <w:rPr>
          <w:rFonts w:ascii="Times New Roman" w:eastAsiaTheme="minorHAnsi" w:hAnsi="Times New Roman"/>
          <w:lang w:val="en-US"/>
        </w:rPr>
        <w:tab/>
        <w:t xml:space="preserve">Registrar and Deputy Registrar of Deeds </w:t>
      </w:r>
    </w:p>
    <w:p w14:paraId="3CC0F363"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18.</w:t>
      </w:r>
      <w:r w:rsidRPr="0097397D">
        <w:rPr>
          <w:rFonts w:ascii="Times New Roman" w:eastAsiaTheme="minorHAnsi" w:hAnsi="Times New Roman"/>
          <w:lang w:val="en-US"/>
        </w:rPr>
        <w:tab/>
        <w:t xml:space="preserve">Registrar and Deputy Registrar of Lands </w:t>
      </w:r>
    </w:p>
    <w:p w14:paraId="5146045D"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19.</w:t>
      </w:r>
      <w:r w:rsidRPr="0097397D">
        <w:rPr>
          <w:rFonts w:ascii="Times New Roman" w:eastAsiaTheme="minorHAnsi" w:hAnsi="Times New Roman"/>
          <w:lang w:val="en-US"/>
        </w:rPr>
        <w:tab/>
        <w:t xml:space="preserve">Director and Deputy Director of Education </w:t>
      </w:r>
    </w:p>
    <w:p w14:paraId="0622571B"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20.</w:t>
      </w:r>
      <w:r w:rsidRPr="0097397D">
        <w:rPr>
          <w:rFonts w:ascii="Times New Roman" w:eastAsiaTheme="minorHAnsi" w:hAnsi="Times New Roman"/>
          <w:lang w:val="en-US"/>
        </w:rPr>
        <w:tab/>
        <w:t xml:space="preserve">Director and Deputy Director of Immigration </w:t>
      </w:r>
    </w:p>
    <w:p w14:paraId="6E7448D3"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 xml:space="preserve">21. </w:t>
      </w:r>
      <w:r w:rsidRPr="0097397D">
        <w:rPr>
          <w:rFonts w:ascii="Times New Roman" w:eastAsiaTheme="minorHAnsi" w:hAnsi="Times New Roman"/>
          <w:lang w:val="en-US"/>
        </w:rPr>
        <w:tab/>
        <w:t xml:space="preserve">Collector and Deputy Collector of Customs </w:t>
      </w:r>
    </w:p>
    <w:p w14:paraId="7E1AB252"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 xml:space="preserve">22  </w:t>
      </w:r>
      <w:r w:rsidRPr="0097397D">
        <w:rPr>
          <w:rFonts w:ascii="Times New Roman" w:eastAsiaTheme="minorHAnsi" w:hAnsi="Times New Roman"/>
          <w:lang w:val="en-US"/>
        </w:rPr>
        <w:tab/>
        <w:t xml:space="preserve">Commissioner and Deputy Commissioner of Lands </w:t>
      </w:r>
    </w:p>
    <w:p w14:paraId="6137F4BD"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23.</w:t>
      </w:r>
      <w:r w:rsidRPr="0097397D">
        <w:rPr>
          <w:rFonts w:ascii="Times New Roman" w:eastAsiaTheme="minorHAnsi" w:hAnsi="Times New Roman"/>
          <w:lang w:val="en-US"/>
        </w:rPr>
        <w:tab/>
        <w:t xml:space="preserve">Chief and Deputy Chief Valuation Officer </w:t>
      </w:r>
    </w:p>
    <w:p w14:paraId="3AB4E7BA"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24.</w:t>
      </w:r>
      <w:r w:rsidRPr="0097397D">
        <w:rPr>
          <w:rFonts w:ascii="Times New Roman" w:eastAsiaTheme="minorHAnsi" w:hAnsi="Times New Roman"/>
          <w:lang w:val="en-US"/>
        </w:rPr>
        <w:tab/>
        <w:t xml:space="preserve">Deputy Heads of Departments, where the Head of Department is not called a Director </w:t>
      </w:r>
    </w:p>
    <w:p w14:paraId="492AA815"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25.</w:t>
      </w:r>
      <w:r w:rsidRPr="0097397D">
        <w:rPr>
          <w:rFonts w:ascii="Times New Roman" w:eastAsiaTheme="minorHAnsi" w:hAnsi="Times New Roman"/>
          <w:lang w:val="en-US"/>
        </w:rPr>
        <w:tab/>
        <w:t xml:space="preserve">Deputy Attorney General </w:t>
      </w:r>
    </w:p>
    <w:p w14:paraId="047EFB7C"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26.</w:t>
      </w:r>
      <w:r w:rsidRPr="0097397D">
        <w:rPr>
          <w:rFonts w:ascii="Times New Roman" w:eastAsiaTheme="minorHAnsi" w:hAnsi="Times New Roman"/>
          <w:lang w:val="en-US"/>
        </w:rPr>
        <w:tab/>
        <w:t xml:space="preserve">Crown Counsel </w:t>
      </w:r>
    </w:p>
    <w:p w14:paraId="16826CF6"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27.</w:t>
      </w:r>
      <w:r w:rsidRPr="0097397D">
        <w:rPr>
          <w:rFonts w:ascii="Times New Roman" w:eastAsiaTheme="minorHAnsi" w:hAnsi="Times New Roman"/>
          <w:lang w:val="en-US"/>
        </w:rPr>
        <w:tab/>
        <w:t xml:space="preserve">Clerk of Courts </w:t>
      </w:r>
    </w:p>
    <w:p w14:paraId="249AD397"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28.</w:t>
      </w:r>
      <w:r w:rsidRPr="0097397D">
        <w:rPr>
          <w:rFonts w:ascii="Times New Roman" w:eastAsiaTheme="minorHAnsi" w:hAnsi="Times New Roman"/>
          <w:lang w:val="en-US"/>
        </w:rPr>
        <w:tab/>
        <w:t xml:space="preserve">Registrar and of Deputy Registrar of the Supreme Court </w:t>
      </w:r>
    </w:p>
    <w:p w14:paraId="62B40080"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29.</w:t>
      </w:r>
      <w:r w:rsidRPr="0097397D">
        <w:rPr>
          <w:rFonts w:ascii="Times New Roman" w:eastAsiaTheme="minorHAnsi" w:hAnsi="Times New Roman"/>
          <w:lang w:val="en-US"/>
        </w:rPr>
        <w:tab/>
        <w:t xml:space="preserve">Supervisor of Elections </w:t>
      </w:r>
    </w:p>
    <w:p w14:paraId="2E8414A1"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30.</w:t>
      </w:r>
      <w:r w:rsidRPr="0097397D">
        <w:rPr>
          <w:rFonts w:ascii="Times New Roman" w:eastAsiaTheme="minorHAnsi" w:hAnsi="Times New Roman"/>
          <w:lang w:val="en-US"/>
        </w:rPr>
        <w:tab/>
        <w:t xml:space="preserve">Members of the Public Service Commission </w:t>
      </w:r>
    </w:p>
    <w:p w14:paraId="1C182E12" w14:textId="77777777" w:rsidR="0097397D" w:rsidRPr="0097397D" w:rsidRDefault="0097397D" w:rsidP="0097397D">
      <w:pPr>
        <w:spacing w:after="160" w:line="259" w:lineRule="auto"/>
        <w:ind w:left="720" w:hanging="720"/>
        <w:rPr>
          <w:rFonts w:ascii="Times New Roman" w:eastAsiaTheme="minorHAnsi" w:hAnsi="Times New Roman"/>
          <w:lang w:val="en-US"/>
        </w:rPr>
      </w:pPr>
      <w:r w:rsidRPr="0097397D">
        <w:rPr>
          <w:rFonts w:ascii="Times New Roman" w:eastAsiaTheme="minorHAnsi" w:hAnsi="Times New Roman"/>
          <w:lang w:val="en-US"/>
        </w:rPr>
        <w:t>31.</w:t>
      </w:r>
      <w:r w:rsidRPr="0097397D">
        <w:rPr>
          <w:rFonts w:ascii="Times New Roman" w:eastAsiaTheme="minorHAnsi" w:hAnsi="Times New Roman"/>
          <w:lang w:val="en-US"/>
        </w:rPr>
        <w:tab/>
        <w:t xml:space="preserve">Commissioner of Police, Deputy Commissioner and Officers at or above the rank of Superintendent </w:t>
      </w:r>
    </w:p>
    <w:p w14:paraId="66AC2A40"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32.</w:t>
      </w:r>
      <w:r w:rsidRPr="0097397D">
        <w:rPr>
          <w:rFonts w:ascii="Times New Roman" w:eastAsiaTheme="minorHAnsi" w:hAnsi="Times New Roman"/>
          <w:lang w:val="en-US"/>
        </w:rPr>
        <w:tab/>
        <w:t xml:space="preserve">Special Advisers (Inserted by L.N. 64/2012) </w:t>
      </w:r>
    </w:p>
    <w:p w14:paraId="75DDBE8D"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33.</w:t>
      </w:r>
      <w:r w:rsidRPr="0097397D">
        <w:rPr>
          <w:rFonts w:ascii="Times New Roman" w:eastAsiaTheme="minorHAnsi" w:hAnsi="Times New Roman"/>
          <w:lang w:val="en-US"/>
        </w:rPr>
        <w:tab/>
        <w:t xml:space="preserve">Members and Staff Members of the Integrity Commission </w:t>
      </w:r>
    </w:p>
    <w:p w14:paraId="56E4173D" w14:textId="77777777" w:rsidR="0097397D" w:rsidRPr="0097397D" w:rsidRDefault="0097397D" w:rsidP="0097397D">
      <w:pPr>
        <w:spacing w:after="160" w:line="259" w:lineRule="auto"/>
        <w:ind w:left="720" w:hanging="720"/>
        <w:rPr>
          <w:rFonts w:ascii="Times New Roman" w:eastAsiaTheme="minorHAnsi" w:hAnsi="Times New Roman"/>
          <w:lang w:val="en-US"/>
        </w:rPr>
      </w:pPr>
      <w:r w:rsidRPr="0097397D">
        <w:rPr>
          <w:rFonts w:ascii="Times New Roman" w:eastAsiaTheme="minorHAnsi" w:hAnsi="Times New Roman"/>
          <w:lang w:val="en-US"/>
        </w:rPr>
        <w:t>34.</w:t>
      </w:r>
      <w:r w:rsidRPr="0097397D">
        <w:rPr>
          <w:rFonts w:ascii="Times New Roman" w:eastAsiaTheme="minorHAnsi" w:hAnsi="Times New Roman"/>
          <w:lang w:val="en-US"/>
        </w:rPr>
        <w:tab/>
        <w:t xml:space="preserve">Chairman, Executive Officers, Directors, Deputy Directors and Members of any  body referred to in paragraph (d) of the definition of “public body” in the </w:t>
      </w:r>
      <w:r w:rsidRPr="0097397D">
        <w:rPr>
          <w:rFonts w:ascii="Times New Roman" w:eastAsiaTheme="minorHAnsi" w:hAnsi="Times New Roman"/>
          <w:lang w:val="en-US"/>
        </w:rPr>
        <w:tab/>
        <w:t xml:space="preserve">Ordinance </w:t>
      </w:r>
    </w:p>
    <w:p w14:paraId="075C6E48" w14:textId="77777777" w:rsidR="0097397D" w:rsidRPr="0097397D" w:rsidRDefault="0097397D" w:rsidP="0097397D">
      <w:pPr>
        <w:spacing w:after="160" w:line="259" w:lineRule="auto"/>
        <w:ind w:left="720" w:hanging="720"/>
        <w:rPr>
          <w:rFonts w:ascii="Times New Roman" w:eastAsiaTheme="minorHAnsi" w:hAnsi="Times New Roman"/>
          <w:lang w:val="en-US"/>
        </w:rPr>
      </w:pPr>
      <w:r w:rsidRPr="0097397D">
        <w:rPr>
          <w:rFonts w:ascii="Times New Roman" w:eastAsiaTheme="minorHAnsi" w:hAnsi="Times New Roman"/>
          <w:lang w:val="en-US"/>
        </w:rPr>
        <w:t>35.</w:t>
      </w:r>
      <w:r w:rsidRPr="0097397D">
        <w:rPr>
          <w:rFonts w:ascii="Times New Roman" w:eastAsiaTheme="minorHAnsi" w:hAnsi="Times New Roman"/>
          <w:lang w:val="en-US"/>
        </w:rPr>
        <w:tab/>
        <w:t xml:space="preserve">Any person who has a statutory duty to record the minutes of meetings of a commission, statutory board, public authority or other body referred to in item 34 who signs the entity’s books and is involved in its business and affairs </w:t>
      </w:r>
    </w:p>
    <w:p w14:paraId="7FFF81F1" w14:textId="77777777" w:rsidR="0097397D" w:rsidRPr="0097397D" w:rsidRDefault="0097397D" w:rsidP="0097397D">
      <w:pPr>
        <w:spacing w:after="160" w:line="259" w:lineRule="auto"/>
        <w:ind w:left="720" w:hanging="720"/>
        <w:rPr>
          <w:rFonts w:ascii="Times New Roman" w:eastAsiaTheme="minorHAnsi" w:hAnsi="Times New Roman"/>
          <w:lang w:val="en-US"/>
        </w:rPr>
      </w:pPr>
      <w:r w:rsidRPr="0097397D">
        <w:rPr>
          <w:rFonts w:ascii="Times New Roman" w:eastAsiaTheme="minorHAnsi" w:hAnsi="Times New Roman"/>
          <w:lang w:val="en-US"/>
        </w:rPr>
        <w:t>36.</w:t>
      </w:r>
      <w:r w:rsidRPr="0097397D">
        <w:rPr>
          <w:rFonts w:ascii="Times New Roman" w:eastAsiaTheme="minorHAnsi" w:hAnsi="Times New Roman"/>
          <w:lang w:val="en-US"/>
        </w:rPr>
        <w:tab/>
        <w:t xml:space="preserve">Any person who acts in an office referred to in this Schedule for a continuous period of six months or more. </w:t>
      </w:r>
    </w:p>
    <w:p w14:paraId="0828E6D3" w14:textId="77777777" w:rsidR="0097397D" w:rsidRPr="0097397D" w:rsidRDefault="0097397D" w:rsidP="0097397D">
      <w:pPr>
        <w:spacing w:after="160" w:line="259" w:lineRule="auto"/>
        <w:rPr>
          <w:rFonts w:ascii="Times New Roman" w:eastAsiaTheme="minorHAnsi" w:hAnsi="Times New Roman"/>
          <w:lang w:val="en-US"/>
        </w:rPr>
      </w:pPr>
      <w:r w:rsidRPr="0097397D">
        <w:rPr>
          <w:rFonts w:ascii="Times New Roman" w:eastAsiaTheme="minorHAnsi" w:hAnsi="Times New Roman"/>
          <w:lang w:val="en-US"/>
        </w:rPr>
        <w:t xml:space="preserve"> </w:t>
      </w:r>
    </w:p>
    <w:p w14:paraId="44F9C45D" w14:textId="5961B654" w:rsidR="0097397D" w:rsidRDefault="0097397D" w:rsidP="005364FA">
      <w:pPr>
        <w:spacing w:after="160" w:line="259" w:lineRule="auto"/>
      </w:pPr>
      <w:r w:rsidRPr="0097397D">
        <w:rPr>
          <w:rFonts w:ascii="Times New Roman" w:eastAsiaTheme="minorHAnsi" w:hAnsi="Times New Roman"/>
          <w:lang w:val="en-US"/>
        </w:rPr>
        <w:t>(Amended by Ord. 1 of 2009 and 15 of 2010, L.Ns. 7/2012, 29/2012 and 64/2012 and s. 6(1) Turks and Caicos Constitution Order 2011)</w:t>
      </w:r>
    </w:p>
    <w:sectPr w:rsidR="0097397D" w:rsidSect="005364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2B418" w14:textId="77777777" w:rsidR="005364FA" w:rsidRDefault="005364FA" w:rsidP="005364FA">
      <w:pPr>
        <w:spacing w:after="0" w:line="240" w:lineRule="auto"/>
      </w:pPr>
      <w:r>
        <w:separator/>
      </w:r>
    </w:p>
  </w:endnote>
  <w:endnote w:type="continuationSeparator" w:id="0">
    <w:p w14:paraId="6B079EB2" w14:textId="77777777" w:rsidR="005364FA" w:rsidRDefault="005364FA" w:rsidP="0053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A98F" w14:textId="77777777" w:rsidR="009F4518" w:rsidRDefault="009F4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68B6" w14:textId="77777777" w:rsidR="009F4518" w:rsidRDefault="009F4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97F1" w14:textId="77777777" w:rsidR="009F4518" w:rsidRDefault="009F4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298CA" w14:textId="77777777" w:rsidR="005364FA" w:rsidRDefault="005364FA" w:rsidP="005364FA">
      <w:pPr>
        <w:spacing w:after="0" w:line="240" w:lineRule="auto"/>
      </w:pPr>
      <w:r>
        <w:separator/>
      </w:r>
    </w:p>
  </w:footnote>
  <w:footnote w:type="continuationSeparator" w:id="0">
    <w:p w14:paraId="793CDEB2" w14:textId="77777777" w:rsidR="005364FA" w:rsidRDefault="005364FA" w:rsidP="00536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C8CC" w14:textId="77777777" w:rsidR="009F4518" w:rsidRDefault="009F4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A15D" w14:textId="6C9A1275" w:rsidR="005364FA" w:rsidRDefault="005364FA" w:rsidP="005364FA">
    <w:pPr>
      <w:pStyle w:val="Header"/>
      <w:tabs>
        <w:tab w:val="clear" w:pos="4513"/>
        <w:tab w:val="clear" w:pos="9026"/>
        <w:tab w:val="left" w:pos="252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0D5D4" w14:textId="5093E6D8" w:rsidR="00EC7495" w:rsidRDefault="00EC7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F639E"/>
    <w:multiLevelType w:val="hybridMultilevel"/>
    <w:tmpl w:val="FFAC0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7D"/>
    <w:rsid w:val="00427200"/>
    <w:rsid w:val="00455774"/>
    <w:rsid w:val="005364FA"/>
    <w:rsid w:val="00636379"/>
    <w:rsid w:val="007C426A"/>
    <w:rsid w:val="007E1689"/>
    <w:rsid w:val="00831255"/>
    <w:rsid w:val="0097397D"/>
    <w:rsid w:val="00986DF0"/>
    <w:rsid w:val="00994B49"/>
    <w:rsid w:val="009F4518"/>
    <w:rsid w:val="00C6251D"/>
    <w:rsid w:val="00CD7FB1"/>
    <w:rsid w:val="00DC6BFD"/>
    <w:rsid w:val="00EC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EEEA"/>
  <w15:chartTrackingRefBased/>
  <w15:docId w15:val="{9F03E286-892D-4865-AEEF-DF853E37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7D"/>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7D"/>
    <w:pPr>
      <w:ind w:left="720"/>
      <w:contextualSpacing/>
    </w:pPr>
  </w:style>
  <w:style w:type="character" w:styleId="Hyperlink">
    <w:name w:val="Hyperlink"/>
    <w:uiPriority w:val="99"/>
    <w:unhideWhenUsed/>
    <w:rsid w:val="0097397D"/>
    <w:rPr>
      <w:color w:val="0000FF"/>
      <w:u w:val="single"/>
    </w:rPr>
  </w:style>
  <w:style w:type="paragraph" w:styleId="NormalWeb">
    <w:name w:val="Normal (Web)"/>
    <w:basedOn w:val="Normal"/>
    <w:uiPriority w:val="99"/>
    <w:semiHidden/>
    <w:unhideWhenUsed/>
    <w:rsid w:val="0097397D"/>
    <w:pPr>
      <w:spacing w:after="0"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7C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6A"/>
    <w:rPr>
      <w:rFonts w:ascii="Segoe UI" w:eastAsia="Calibri" w:hAnsi="Segoe UI" w:cs="Segoe UI"/>
      <w:sz w:val="18"/>
      <w:szCs w:val="18"/>
      <w:lang w:val="en-GB"/>
    </w:rPr>
  </w:style>
  <w:style w:type="paragraph" w:styleId="Header">
    <w:name w:val="header"/>
    <w:basedOn w:val="Normal"/>
    <w:link w:val="HeaderChar"/>
    <w:uiPriority w:val="99"/>
    <w:unhideWhenUsed/>
    <w:rsid w:val="00536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4FA"/>
    <w:rPr>
      <w:rFonts w:ascii="Calibri" w:eastAsia="Calibri" w:hAnsi="Calibri" w:cs="Times New Roman"/>
      <w:lang w:val="en-GB"/>
    </w:rPr>
  </w:style>
  <w:style w:type="paragraph" w:styleId="Footer">
    <w:name w:val="footer"/>
    <w:basedOn w:val="Normal"/>
    <w:link w:val="FooterChar"/>
    <w:uiPriority w:val="99"/>
    <w:unhideWhenUsed/>
    <w:rsid w:val="00536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4FA"/>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officer@integritycommission.t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gritycommission.t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 Almonte</dc:creator>
  <cp:keywords/>
  <dc:description/>
  <cp:lastModifiedBy>Jovan Flemming</cp:lastModifiedBy>
  <cp:revision>2</cp:revision>
  <cp:lastPrinted>2020-05-29T02:46:00Z</cp:lastPrinted>
  <dcterms:created xsi:type="dcterms:W3CDTF">2020-05-29T02:58:00Z</dcterms:created>
  <dcterms:modified xsi:type="dcterms:W3CDTF">2020-05-29T02:58:00Z</dcterms:modified>
</cp:coreProperties>
</file>